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7" w:line="195" w:lineRule="auto"/>
        <w:ind w:left="1247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公共管理学院(法学院)推荐202</w:t>
      </w:r>
      <w:r>
        <w:rPr>
          <w:rFonts w:hint="eastAsia" w:ascii="微软雅黑" w:hAnsi="微软雅黑" w:eastAsia="微软雅黑" w:cs="微软雅黑"/>
          <w:spacing w:val="5"/>
          <w:sz w:val="43"/>
          <w:szCs w:val="43"/>
          <w:lang w:val="en-US" w:eastAsia="zh-CN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rFonts w:ascii="微软雅黑" w:hAnsi="微软雅黑" w:eastAsia="微软雅黑" w:cs="微软雅黑"/>
          <w:spacing w:val="5"/>
          <w:sz w:val="43"/>
          <w:szCs w:val="43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届优秀应届本科毕业</w:t>
      </w:r>
      <w:r>
        <w:rPr>
          <w:rFonts w:ascii="微软雅黑" w:hAnsi="微软雅黑" w:eastAsia="微软雅黑" w:cs="微软雅黑"/>
          <w:spacing w:val="2"/>
          <w:sz w:val="43"/>
          <w:szCs w:val="43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生</w:t>
      </w:r>
    </w:p>
    <w:p>
      <w:pPr>
        <w:spacing w:line="470" w:lineRule="exact"/>
        <w:jc w:val="center"/>
        <w:rPr>
          <w:rFonts w:hint="default" w:ascii="微软雅黑" w:hAnsi="微软雅黑" w:eastAsia="微软雅黑" w:cs="微软雅黑"/>
          <w:spacing w:val="9"/>
          <w:position w:val="-1"/>
          <w:sz w:val="43"/>
          <w:szCs w:val="43"/>
          <w:lang w:val="en-US" w:eastAsia="zh-CN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微软雅黑" w:hAnsi="微软雅黑" w:eastAsia="微软雅黑" w:cs="微软雅黑"/>
          <w:spacing w:val="16"/>
          <w:position w:val="-1"/>
          <w:sz w:val="43"/>
          <w:szCs w:val="43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攻</w:t>
      </w:r>
      <w:r>
        <w:rPr>
          <w:rFonts w:ascii="微软雅黑" w:hAnsi="微软雅黑" w:eastAsia="微软雅黑" w:cs="微软雅黑"/>
          <w:spacing w:val="9"/>
          <w:position w:val="-1"/>
          <w:sz w:val="43"/>
          <w:szCs w:val="43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读研究生</w:t>
      </w:r>
      <w:r>
        <w:rPr>
          <w:rFonts w:hint="eastAsia" w:ascii="微软雅黑" w:hAnsi="微软雅黑" w:eastAsia="微软雅黑" w:cs="微软雅黑"/>
          <w:spacing w:val="9"/>
          <w:position w:val="-1"/>
          <w:sz w:val="43"/>
          <w:szCs w:val="43"/>
          <w:lang w:val="en-US" w:eastAsia="zh-CN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成绩</w:t>
      </w:r>
      <w:r>
        <w:rPr>
          <w:rFonts w:ascii="微软雅黑" w:hAnsi="微软雅黑" w:eastAsia="微软雅黑" w:cs="微软雅黑"/>
          <w:spacing w:val="9"/>
          <w:position w:val="-1"/>
          <w:sz w:val="43"/>
          <w:szCs w:val="43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测评</w:t>
      </w:r>
      <w:r>
        <w:rPr>
          <w:rFonts w:hint="eastAsia" w:ascii="微软雅黑" w:hAnsi="微软雅黑" w:eastAsia="微软雅黑" w:cs="微软雅黑"/>
          <w:spacing w:val="9"/>
          <w:position w:val="-1"/>
          <w:sz w:val="43"/>
          <w:szCs w:val="43"/>
          <w:lang w:val="en-US" w:eastAsia="zh-CN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参考</w:t>
      </w:r>
      <w:r>
        <w:rPr>
          <w:rFonts w:ascii="微软雅黑" w:hAnsi="微软雅黑" w:eastAsia="微软雅黑" w:cs="微软雅黑"/>
          <w:spacing w:val="9"/>
          <w:position w:val="-1"/>
          <w:sz w:val="43"/>
          <w:szCs w:val="43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标准</w:t>
      </w:r>
      <w:r>
        <w:rPr>
          <w:rFonts w:hint="eastAsia" w:ascii="微软雅黑" w:hAnsi="微软雅黑" w:eastAsia="微软雅黑" w:cs="微软雅黑"/>
          <w:spacing w:val="9"/>
          <w:position w:val="-1"/>
          <w:sz w:val="43"/>
          <w:szCs w:val="43"/>
          <w:lang w:eastAsia="zh-CN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微软雅黑" w:hAnsi="微软雅黑" w:eastAsia="微软雅黑" w:cs="微软雅黑"/>
          <w:spacing w:val="9"/>
          <w:position w:val="-1"/>
          <w:sz w:val="43"/>
          <w:szCs w:val="43"/>
          <w:lang w:val="en-US" w:eastAsia="zh-CN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修订版</w:t>
      </w:r>
      <w:r>
        <w:rPr>
          <w:rFonts w:hint="eastAsia" w:ascii="微软雅黑" w:hAnsi="微软雅黑" w:eastAsia="微软雅黑" w:cs="微软雅黑"/>
          <w:spacing w:val="9"/>
          <w:position w:val="-1"/>
          <w:sz w:val="43"/>
          <w:szCs w:val="43"/>
          <w:lang w:eastAsia="zh-CN"/>
          <w14:textOutline w14:w="7971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tbl>
      <w:tblPr>
        <w:tblStyle w:val="3"/>
        <w:tblW w:w="1508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460"/>
        <w:gridCol w:w="1450"/>
        <w:gridCol w:w="560"/>
        <w:gridCol w:w="660"/>
        <w:gridCol w:w="630"/>
        <w:gridCol w:w="9309"/>
        <w:gridCol w:w="15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序号</w:t>
            </w:r>
          </w:p>
        </w:tc>
        <w:tc>
          <w:tcPr>
            <w:tcW w:w="1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项目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单项满分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权重</w:t>
            </w:r>
          </w:p>
        </w:tc>
        <w:tc>
          <w:tcPr>
            <w:tcW w:w="9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标准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核准认定负责人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专业学习成绩 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0.8</w:t>
            </w:r>
          </w:p>
        </w:tc>
        <w:tc>
          <w:tcPr>
            <w:tcW w:w="9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本科阶段专业学习的算术平均成绩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教学科研办肖峰老师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综合测评成绩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大学生创新项目</w:t>
            </w:r>
          </w:p>
        </w:tc>
        <w:tc>
          <w:tcPr>
            <w:tcW w:w="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0.2</w:t>
            </w:r>
          </w:p>
        </w:tc>
        <w:tc>
          <w:tcPr>
            <w:tcW w:w="9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仅给排名1-2的项目组成员赋分，其他排名成员不赋分。（1）国家级大学生创新项目：主持人赋20分；排名第二者赋15分。（2）自治区级大学生创新项目：主持人赋15分；排名第二者赋10分。（3）校级大学生创新项目：主持人赋10分；排名第二者赋5分。（4）院级大学生创新项目：主持人赋5分；排名第二者赋2分。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教学科研办肖峰老师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发表论文</w:t>
            </w:r>
          </w:p>
        </w:tc>
        <w:tc>
          <w:tcPr>
            <w:tcW w:w="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发表论文的第一作者单位应为新疆农业大学。在排名前三的作者中，除去指导老师（限1名），仅给学生排序第一、第二的作者赋分。（1）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核心期刊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（含SSCI、SCI、CSSCI、CSCD、中文核心、科技核心）：排序第一的作者赋分20分，排序第二的作者赋分15分。（2）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非核心期刊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（中国知网收录的期刊）：排序第一的作者赋分15分，排序第二的作者赋分10分。（3）学生为通讯作者，按照第一作者赋分。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教学科研办肖峰老师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获奖情况</w:t>
            </w:r>
          </w:p>
        </w:tc>
        <w:tc>
          <w:tcPr>
            <w:tcW w:w="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（1）国家奖学金：赋</w:t>
            </w: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分。（2）国家励志奖学金：赋</w:t>
            </w: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分。</w:t>
            </w: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</w:t>
            </w: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自治区励志奖学金：赋</w:t>
            </w: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分</w:t>
            </w: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（4）校级优秀荣誉奖（优秀学生干部、三好学生、社会实践奖等）：赋5分。（5）院级优秀荣誉奖（优秀学生干部、三好学生、社会实践奖等）：赋3分。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学工办刘佳佳老师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社会活动</w:t>
            </w:r>
          </w:p>
        </w:tc>
        <w:tc>
          <w:tcPr>
            <w:tcW w:w="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（1）校、院两级主席团成团、党支部书记/副书记赋10分。（2）校、院两级学生会干部、社团干部、党支部支委赋8分。（3）优秀志愿者、班委成员赋3分。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学工办刘佳佳老师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6</w:t>
            </w: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资格证书 </w:t>
            </w:r>
          </w:p>
        </w:tc>
        <w:tc>
          <w:tcPr>
            <w:tcW w:w="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15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（1）通过六级英语者：赋15分。（2）获全国统一职业资格证书(与本专业直接相关)，包括人力资源师、教师资格证等：赋10分。（3）计算机二级及以上水平的证书获得者：赋5分。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学工办刘佳佳老师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7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7</w:t>
            </w: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学科竞赛</w:t>
            </w:r>
          </w:p>
        </w:tc>
        <w:tc>
          <w:tcPr>
            <w:tcW w:w="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Style w:val="6"/>
                <w:snapToGrid w:val="0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（1）教育部竞赛活动目录内</w:t>
            </w:r>
            <w:r>
              <w:rPr>
                <w:rStyle w:val="6"/>
                <w:snapToGrid w:val="0"/>
                <w:color w:val="000000"/>
                <w:lang w:val="en-US" w:eastAsia="zh-CN"/>
              </w:rPr>
              <w:t>，仅给排名前五的获奖成员赋分：特等、一等奖，赋分依次为20、15、13、10、8；二等奖，赋分依次为15、13、10、8、6；三等奖，赋分依次为13、10、8、6、4；</w:t>
            </w:r>
            <w:r>
              <w:rPr>
                <w:rStyle w:val="6"/>
                <w:rFonts w:hint="eastAsia"/>
                <w:snapToGrid w:val="0"/>
                <w:color w:val="000000"/>
                <w:lang w:val="en-US" w:eastAsia="zh-CN"/>
              </w:rPr>
              <w:t>优秀奖，</w:t>
            </w:r>
            <w:r>
              <w:rPr>
                <w:rStyle w:val="6"/>
                <w:snapToGrid w:val="0"/>
                <w:color w:val="000000"/>
                <w:lang w:val="en-US" w:eastAsia="zh-CN"/>
              </w:rPr>
              <w:t>赋分依次为10、8、6、4、</w:t>
            </w:r>
            <w:r>
              <w:rPr>
                <w:rStyle w:val="6"/>
                <w:rFonts w:hint="eastAsia"/>
                <w:snapToGrid w:val="0"/>
                <w:color w:val="000000"/>
                <w:lang w:val="en-US" w:eastAsia="zh-CN"/>
              </w:rPr>
              <w:t>2。</w:t>
            </w:r>
            <w:r>
              <w:rPr>
                <w:rStyle w:val="6"/>
                <w:b/>
                <w:bCs/>
                <w:snapToGrid w:val="0"/>
                <w:color w:val="000000"/>
                <w:lang w:val="en-US" w:eastAsia="zh-CN"/>
              </w:rPr>
              <w:t>（2）</w:t>
            </w:r>
            <w:r>
              <w:rPr>
                <w:rStyle w:val="6"/>
                <w:rFonts w:hint="eastAsia"/>
                <w:b/>
                <w:bCs/>
                <w:snapToGrid w:val="0"/>
                <w:color w:val="000000"/>
                <w:lang w:val="en-US" w:eastAsia="zh-CN"/>
              </w:rPr>
              <w:t>教指委主办的</w:t>
            </w:r>
            <w:r>
              <w:rPr>
                <w:rStyle w:val="5"/>
                <w:snapToGrid w:val="0"/>
                <w:color w:val="000000"/>
                <w:lang w:val="en-US" w:eastAsia="zh-CN"/>
              </w:rPr>
              <w:t>学科竞赛</w:t>
            </w:r>
            <w:r>
              <w:rPr>
                <w:rStyle w:val="6"/>
                <w:snapToGrid w:val="0"/>
                <w:color w:val="000000"/>
                <w:lang w:val="en-US" w:eastAsia="zh-CN"/>
              </w:rPr>
              <w:t>，仅给排名前三的获奖成员赋分：特等、一等奖，赋分依次为15、13、10；二等奖，赋分依次为13、10、8；三等奖，赋分依次为10、8、6。</w:t>
            </w:r>
            <w:r>
              <w:rPr>
                <w:rStyle w:val="6"/>
                <w:b/>
                <w:bCs/>
                <w:snapToGrid w:val="0"/>
                <w:color w:val="000000"/>
                <w:lang w:val="en-US" w:eastAsia="zh-CN"/>
              </w:rPr>
              <w:t>（3）</w:t>
            </w:r>
            <w:r>
              <w:rPr>
                <w:rStyle w:val="5"/>
                <w:b/>
                <w:bCs/>
                <w:snapToGrid w:val="0"/>
                <w:color w:val="000000"/>
                <w:lang w:val="en-US" w:eastAsia="zh-CN"/>
              </w:rPr>
              <w:t>其</w:t>
            </w:r>
            <w:r>
              <w:rPr>
                <w:rStyle w:val="5"/>
                <w:snapToGrid w:val="0"/>
                <w:color w:val="000000"/>
                <w:lang w:val="en-US" w:eastAsia="zh-CN"/>
              </w:rPr>
              <w:t>他全国级别</w:t>
            </w:r>
            <w:r>
              <w:rPr>
                <w:rStyle w:val="5"/>
                <w:rFonts w:hint="eastAsia"/>
                <w:snapToGrid w:val="0"/>
                <w:color w:val="000000"/>
                <w:lang w:val="en-US" w:eastAsia="zh-CN"/>
              </w:rPr>
              <w:t>和</w:t>
            </w:r>
            <w:r>
              <w:rPr>
                <w:rStyle w:val="5"/>
                <w:snapToGrid w:val="0"/>
                <w:color w:val="000000"/>
                <w:lang w:val="en-US" w:eastAsia="zh-CN"/>
              </w:rPr>
              <w:t>省级学科竞赛</w:t>
            </w:r>
            <w:r>
              <w:rPr>
                <w:rStyle w:val="6"/>
                <w:snapToGrid w:val="0"/>
                <w:color w:val="000000"/>
                <w:lang w:val="en-US" w:eastAsia="zh-CN"/>
              </w:rPr>
              <w:t>，仅给排名前三的获奖成员赋分：特等、一等奖，赋分依次为13、10、8；二等奖，赋分依次为10、8、6；三等奖，赋分依次为8、6、4。</w:t>
            </w:r>
            <w:r>
              <w:rPr>
                <w:rStyle w:val="6"/>
                <w:b/>
                <w:bCs/>
                <w:snapToGrid w:val="0"/>
                <w:color w:val="000000"/>
                <w:lang w:val="en-US" w:eastAsia="zh-CN"/>
              </w:rPr>
              <w:t>（4）</w:t>
            </w:r>
            <w:r>
              <w:rPr>
                <w:rStyle w:val="5"/>
                <w:snapToGrid w:val="0"/>
                <w:color w:val="000000"/>
                <w:lang w:val="en-US" w:eastAsia="zh-CN"/>
              </w:rPr>
              <w:t>对于校级、院级学科竞赛</w:t>
            </w:r>
            <w:r>
              <w:rPr>
                <w:rStyle w:val="6"/>
                <w:snapToGrid w:val="0"/>
                <w:color w:val="000000"/>
                <w:lang w:val="en-US" w:eastAsia="zh-CN"/>
              </w:rPr>
              <w:t>，只给排名第一的获奖者赋分。其中，获得校级三等及以上者赋分5分；获得</w:t>
            </w:r>
            <w:r>
              <w:rPr>
                <w:rStyle w:val="6"/>
                <w:rFonts w:hint="eastAsia"/>
                <w:snapToGrid w:val="0"/>
                <w:color w:val="000000"/>
                <w:lang w:val="en-US" w:eastAsia="zh-CN"/>
              </w:rPr>
              <w:t>院</w:t>
            </w:r>
            <w:r>
              <w:rPr>
                <w:rStyle w:val="6"/>
                <w:snapToGrid w:val="0"/>
                <w:color w:val="000000"/>
                <w:lang w:val="en-US" w:eastAsia="zh-CN"/>
              </w:rPr>
              <w:t>级三等及以上者赋3分。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Style w:val="6"/>
                <w:rFonts w:hint="eastAsia"/>
                <w:snapToGrid w:val="0"/>
                <w:color w:val="000000"/>
                <w:lang w:val="en-US" w:eastAsia="zh-CN"/>
              </w:rPr>
              <w:t>注：</w:t>
            </w:r>
            <w:r>
              <w:rPr>
                <w:rStyle w:val="6"/>
                <w:snapToGrid w:val="0"/>
                <w:color w:val="000000"/>
                <w:lang w:val="en-US" w:eastAsia="zh-CN"/>
              </w:rPr>
              <w:t>对于以个人参赛获奖情形，按相应类型和获奖等级中排名第一的获奖成员来赋分。</w:t>
            </w:r>
            <w:r>
              <w:rPr>
                <w:rStyle w:val="6"/>
                <w:rFonts w:hint="eastAsia"/>
                <w:snapToGrid w:val="0"/>
                <w:color w:val="000000"/>
                <w:lang w:val="en-US" w:eastAsia="zh-CN"/>
              </w:rPr>
              <w:t>在</w:t>
            </w:r>
            <w:r>
              <w:rPr>
                <w:rStyle w:val="6"/>
                <w:snapToGrid w:val="0"/>
                <w:color w:val="000000"/>
                <w:lang w:val="en-US" w:eastAsia="zh-CN"/>
              </w:rPr>
              <w:t>各级各类获奖中（</w:t>
            </w:r>
            <w:r>
              <w:rPr>
                <w:rStyle w:val="6"/>
                <w:rFonts w:hint="eastAsia"/>
                <w:snapToGrid w:val="0"/>
                <w:color w:val="000000"/>
                <w:lang w:val="en-US" w:eastAsia="zh-CN"/>
              </w:rPr>
              <w:t>除第一情形外</w:t>
            </w:r>
            <w:r>
              <w:rPr>
                <w:rStyle w:val="6"/>
                <w:snapToGrid w:val="0"/>
                <w:color w:val="000000"/>
                <w:lang w:val="en-US" w:eastAsia="zh-CN"/>
              </w:rPr>
              <w:t>），优秀奖获得者不赋分。</w:t>
            </w:r>
            <w:r>
              <w:rPr>
                <w:rStyle w:val="6"/>
                <w:rFonts w:hint="eastAsia"/>
                <w:snapToGrid w:val="0"/>
                <w:color w:val="000000"/>
                <w:lang w:val="en-US" w:eastAsia="zh-CN"/>
              </w:rPr>
              <w:t>同一作品在多个类型或等级比赛中获奖，按就高原则赋分，但不重复赋分。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学工办刘佳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佳老师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8</w:t>
            </w: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高校考研训练夏令营、冬令营</w:t>
            </w:r>
          </w:p>
        </w:tc>
        <w:tc>
          <w:tcPr>
            <w:tcW w:w="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（1）成绩评定为优或百分制90分以上，赋5分。（2）成绩评定为良或百分制80分以上，赋3分。（3）良好以下的，不赋分。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学工办刘佳佳老师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备注：（1）最终的测评成绩=专业学习成绩×0.8+综合测评成绩×0.2。建议最终得分保留两位小数点。（2）在2-8项的每个单项中，赋分可累计，但每个单项累计分不超单项满分。（3）对应赋分均需要提供佐证材料。</w:t>
      </w:r>
    </w:p>
    <w:sectPr>
      <w:footerReference r:id="rId3" w:type="default"/>
      <w:pgSz w:w="16839" w:h="11906"/>
      <w:pgMar w:top="1440" w:right="1800" w:bottom="1440" w:left="1800" w:header="0" w:footer="77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5" w:lineRule="auto"/>
      <w:ind w:right="105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- </w:t>
    </w:r>
    <w:r>
      <w:rPr>
        <w:rFonts w:ascii="宋体" w:hAnsi="宋体" w:eastAsia="宋体" w:cs="宋体"/>
        <w:sz w:val="28"/>
        <w:szCs w:val="28"/>
      </w:rPr>
      <w:t>13 -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mYTUyYWZiZDJlNzJhMDliYzk2NWFhNmFiYmNkNDUifQ=="/>
  </w:docVars>
  <w:rsids>
    <w:rsidRoot w:val="00000000"/>
    <w:rsid w:val="05AB6010"/>
    <w:rsid w:val="0AC95C67"/>
    <w:rsid w:val="0D01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1382</Words>
  <Characters>1455</Characters>
  <Paragraphs>83</Paragraphs>
  <TotalTime>0</TotalTime>
  <ScaleCrop>false</ScaleCrop>
  <LinksUpToDate>false</LinksUpToDate>
  <CharactersWithSpaces>1459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2023-09-08T04:49:00Z</dcterms:created>
  <dc:creator>夏依旦</dc:creator>
  <cp:lastModifiedBy>HP</cp:lastModifiedBy>
  <cp:lastPrinted>2023-09-10T04:44:00Z</cp:lastPrinted>
  <dcterms:modified xsi:type="dcterms:W3CDTF">2024-09-12T12:06:21Z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8068D0529F62402AB750F64AE7E00245_13</vt:lpwstr>
  </property>
</Properties>
</file>